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06C7205E"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586829">
        <w:rPr>
          <w:rFonts w:ascii="Times New Roman" w:hAnsi="Times New Roman" w:cs="Times New Roman"/>
          <w:sz w:val="24"/>
          <w:szCs w:val="24"/>
        </w:rPr>
        <w:t>1</w:t>
      </w:r>
      <w:r w:rsidR="002A6A9D">
        <w:rPr>
          <w:rFonts w:ascii="Times New Roman" w:hAnsi="Times New Roman" w:cs="Times New Roman"/>
          <w:sz w:val="24"/>
          <w:szCs w:val="24"/>
        </w:rPr>
        <w:t>4</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22F2EDB2"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586829">
        <w:rPr>
          <w:rFonts w:ascii="Times New Roman" w:hAnsi="Times New Roman" w:cs="Times New Roman"/>
          <w:b/>
          <w:bCs/>
          <w:sz w:val="24"/>
          <w:szCs w:val="24"/>
        </w:rPr>
        <w:t>1</w:t>
      </w:r>
      <w:r w:rsidR="002A6A9D">
        <w:rPr>
          <w:rFonts w:ascii="Times New Roman" w:hAnsi="Times New Roman" w:cs="Times New Roman"/>
          <w:b/>
          <w:bCs/>
          <w:sz w:val="24"/>
          <w:szCs w:val="24"/>
        </w:rPr>
        <w:t>4</w:t>
      </w:r>
      <w:r w:rsidR="00BF4588" w:rsidRPr="00D455E0">
        <w:rPr>
          <w:rFonts w:ascii="Times New Roman" w:hAnsi="Times New Roman" w:cs="Times New Roman"/>
          <w:b/>
          <w:bCs/>
          <w:sz w:val="24"/>
          <w:szCs w:val="24"/>
        </w:rPr>
        <w:t>/</w:t>
      </w:r>
      <w:r w:rsidR="00715EE9">
        <w:rPr>
          <w:rFonts w:ascii="Times New Roman" w:hAnsi="Times New Roman" w:cs="Times New Roman"/>
          <w:b/>
          <w:bCs/>
          <w:sz w:val="24"/>
          <w:szCs w:val="24"/>
        </w:rPr>
        <w:t>1</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7E4F1075"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r w:rsidR="00586829">
        <w:rPr>
          <w:color w:val="auto"/>
        </w:rPr>
        <w:t>Safety</w:t>
      </w:r>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25C2A8F0" w14:textId="77777777" w:rsidR="00DD7788" w:rsidRPr="00D455E0" w:rsidRDefault="00DD7788" w:rsidP="00DD778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zwraca się z uprzejmą prośbą o przedstawienie oferty cenowej na </w:t>
      </w:r>
      <w:bookmarkStart w:id="1" w:name="_Hlk109210931"/>
      <w:r w:rsidRPr="00D455E0">
        <w:rPr>
          <w:rFonts w:ascii="Times New Roman" w:hAnsi="Times New Roman" w:cs="Times New Roman"/>
          <w:sz w:val="24"/>
          <w:szCs w:val="24"/>
        </w:rPr>
        <w:t xml:space="preserve">wynajem długoterminowy specjalistycznej aparatury naukowo-badawczej do wykonywania światłowodowych siatek Bragga na włóknach specjalnych w ramach projektu </w:t>
      </w:r>
      <w:r w:rsidRPr="00D455E0">
        <w:rPr>
          <w:rFonts w:ascii="Times New Roman" w:hAnsi="Times New Roman" w:cs="Times New Roman"/>
          <w:b/>
          <w:bCs/>
          <w:sz w:val="24"/>
          <w:szCs w:val="24"/>
        </w:rPr>
        <w:t>„Metalowe pokrycia światłowodowe odporne termicznie, chemicznie i mechaniczne do celów czujnikowych”</w:t>
      </w:r>
      <w:r w:rsidRPr="00D455E0">
        <w:rPr>
          <w:rFonts w:ascii="Times New Roman" w:hAnsi="Times New Roman" w:cs="Times New Roman"/>
          <w:sz w:val="24"/>
          <w:szCs w:val="24"/>
        </w:rPr>
        <w:t>. Zamówienie będzie realizowane w ramach działania 1.1 „Projekty B+R przedsiębiorstw” Programu Operacyjnego Inteligentny Rozwój 2014-2020 w ramach Osi Priorytetowej „Wsparcie prowadzenia prac B+R przez przedsiębiorstwa”.</w:t>
      </w:r>
    </w:p>
    <w:bookmarkEnd w:id="1"/>
    <w:p w14:paraId="5A68E078" w14:textId="426D4BC0" w:rsidR="003B1F74" w:rsidRDefault="003B1F74" w:rsidP="00953438">
      <w:pPr>
        <w:spacing w:after="0" w:line="276" w:lineRule="auto"/>
        <w:rPr>
          <w:rFonts w:ascii="Times New Roman" w:hAnsi="Times New Roman" w:cs="Times New Roman"/>
          <w:sz w:val="24"/>
          <w:szCs w:val="24"/>
        </w:rPr>
      </w:pPr>
    </w:p>
    <w:p w14:paraId="75FFCCFA" w14:textId="77777777" w:rsidR="00DD7788" w:rsidRPr="00D455E0" w:rsidRDefault="00DD7788"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odwołań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45AEC4A2" w14:textId="42B439A4" w:rsidR="007A6FAA" w:rsidRDefault="0046718A" w:rsidP="00953438">
      <w:pPr>
        <w:spacing w:after="0" w:line="276" w:lineRule="auto"/>
        <w:rPr>
          <w:rFonts w:ascii="Times New Roman" w:hAnsi="Times New Roman" w:cs="Times New Roman"/>
          <w:sz w:val="24"/>
          <w:szCs w:val="24"/>
        </w:rPr>
      </w:pPr>
      <w:r w:rsidRPr="0046718A">
        <w:rPr>
          <w:rFonts w:ascii="Times New Roman" w:hAnsi="Times New Roman" w:cs="Times New Roman"/>
          <w:sz w:val="24"/>
          <w:szCs w:val="24"/>
        </w:rPr>
        <w:t xml:space="preserve">Przedmiotem zamówienia jest </w:t>
      </w:r>
      <w:r w:rsidR="000E6F5E" w:rsidRPr="00285130">
        <w:rPr>
          <w:rFonts w:ascii="Times New Roman" w:hAnsi="Times New Roman" w:cs="Times New Roman"/>
          <w:sz w:val="24"/>
          <w:szCs w:val="24"/>
        </w:rPr>
        <w:t xml:space="preserve">długoterminowy wynajem specjalistycznej aparatury naukowo-badawczej do </w:t>
      </w:r>
      <w:r w:rsidR="00715EE9" w:rsidRPr="00715EE9">
        <w:rPr>
          <w:rFonts w:ascii="Times New Roman" w:hAnsi="Times New Roman" w:cs="Times New Roman"/>
          <w:sz w:val="24"/>
          <w:szCs w:val="24"/>
        </w:rPr>
        <w:t>wykonywania światłowodowych siatek Bragga na włóknach specjalnych</w:t>
      </w:r>
      <w:r w:rsidRPr="0046718A">
        <w:rPr>
          <w:rFonts w:ascii="Times New Roman" w:hAnsi="Times New Roman" w:cs="Times New Roman"/>
          <w:sz w:val="24"/>
          <w:szCs w:val="24"/>
        </w:rPr>
        <w:t>. Zamawiający nie dopuszcza częściowej realizacji przedmiotu zamówienia, aparatura musi być kompletna i zapewniać wszystkie funkcjonalności określone w poniżej.</w:t>
      </w:r>
    </w:p>
    <w:p w14:paraId="5B3B6222" w14:textId="77777777" w:rsidR="0046718A" w:rsidRPr="00D455E0" w:rsidRDefault="0046718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254BFBC1" w14:textId="2A85B43D" w:rsidR="0046370E" w:rsidRDefault="000E6F5E" w:rsidP="0046718A">
      <w:pPr>
        <w:autoSpaceDE w:val="0"/>
        <w:autoSpaceDN w:val="0"/>
        <w:adjustRightInd w:val="0"/>
        <w:rPr>
          <w:rFonts w:ascii="Times New Roman" w:hAnsi="Times New Roman" w:cs="Times New Roman"/>
          <w:color w:val="333333"/>
          <w:sz w:val="24"/>
          <w:szCs w:val="24"/>
        </w:rPr>
      </w:pPr>
      <w:r w:rsidRPr="000E6F5E">
        <w:rPr>
          <w:rFonts w:ascii="Times New Roman" w:hAnsi="Times New Roman" w:cs="Times New Roman"/>
          <w:color w:val="333333"/>
          <w:sz w:val="24"/>
          <w:szCs w:val="24"/>
        </w:rPr>
        <w:t>Aparatura badawcza będzie wykorzystywana m. in. do wytworzenia prototypów komponentów integrujących światłowody z elementami mechanicznymi oraz prototypów elementów montażowych i zabezpieczających do światłowodowej sieci pomiarowej</w:t>
      </w:r>
    </w:p>
    <w:p w14:paraId="16FE73E8"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bookmarkStart w:id="2" w:name="_Hlk96683399"/>
      <w:r w:rsidRPr="00715EE9">
        <w:rPr>
          <w:rFonts w:ascii="Times New Roman" w:hAnsi="Times New Roman" w:cs="Times New Roman"/>
          <w:color w:val="333333"/>
          <w:sz w:val="24"/>
          <w:szCs w:val="24"/>
        </w:rPr>
        <w:t>Wymagane główne funkcjonalności są następujące:</w:t>
      </w:r>
    </w:p>
    <w:p w14:paraId="3AB141E8"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1.</w:t>
      </w:r>
      <w:r w:rsidRPr="00715EE9">
        <w:rPr>
          <w:rFonts w:ascii="Times New Roman" w:hAnsi="Times New Roman" w:cs="Times New Roman"/>
          <w:color w:val="333333"/>
          <w:sz w:val="24"/>
          <w:szCs w:val="24"/>
        </w:rPr>
        <w:tab/>
        <w:t>Wytwarzanie pseudolosowych zdarzeń na włóknach mikrostrukturalnych z otworami powietrznymi  na długości min. 10 m.</w:t>
      </w:r>
    </w:p>
    <w:p w14:paraId="3D3A24B8"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2.</w:t>
      </w:r>
      <w:r w:rsidRPr="00715EE9">
        <w:rPr>
          <w:rFonts w:ascii="Times New Roman" w:hAnsi="Times New Roman" w:cs="Times New Roman"/>
          <w:color w:val="333333"/>
          <w:sz w:val="24"/>
          <w:szCs w:val="24"/>
        </w:rPr>
        <w:tab/>
        <w:t>Możliwość zapisu siatek Bragga w sposób stabilny, powtarzalny i szybki:</w:t>
      </w:r>
    </w:p>
    <w:p w14:paraId="7A9F6C99" w14:textId="77777777" w:rsidR="00715EE9" w:rsidRPr="00715EE9" w:rsidRDefault="00715EE9" w:rsidP="00C613CE">
      <w:pPr>
        <w:autoSpaceDE w:val="0"/>
        <w:autoSpaceDN w:val="0"/>
        <w:adjustRightInd w:val="0"/>
        <w:ind w:left="1418" w:hanging="284"/>
        <w:rPr>
          <w:rFonts w:ascii="Times New Roman" w:hAnsi="Times New Roman" w:cs="Times New Roman"/>
          <w:color w:val="333333"/>
          <w:sz w:val="24"/>
          <w:szCs w:val="24"/>
        </w:rPr>
      </w:pPr>
      <w:r w:rsidRPr="00715EE9">
        <w:rPr>
          <w:rFonts w:ascii="Times New Roman" w:hAnsi="Times New Roman" w:cs="Times New Roman"/>
          <w:color w:val="333333"/>
          <w:sz w:val="24"/>
          <w:szCs w:val="24"/>
        </w:rPr>
        <w:t>a.</w:t>
      </w:r>
      <w:r w:rsidRPr="00715EE9">
        <w:rPr>
          <w:rFonts w:ascii="Times New Roman" w:hAnsi="Times New Roman" w:cs="Times New Roman"/>
          <w:color w:val="333333"/>
          <w:sz w:val="24"/>
          <w:szCs w:val="24"/>
        </w:rPr>
        <w:tab/>
        <w:t>Dokładność długości fali Bragga +/- 1 nm;</w:t>
      </w:r>
    </w:p>
    <w:p w14:paraId="51162DE8" w14:textId="77777777" w:rsidR="00715EE9" w:rsidRPr="00715EE9" w:rsidRDefault="00715EE9" w:rsidP="00C613CE">
      <w:pPr>
        <w:autoSpaceDE w:val="0"/>
        <w:autoSpaceDN w:val="0"/>
        <w:adjustRightInd w:val="0"/>
        <w:ind w:left="1418" w:hanging="284"/>
        <w:rPr>
          <w:rFonts w:ascii="Times New Roman" w:hAnsi="Times New Roman" w:cs="Times New Roman"/>
          <w:color w:val="333333"/>
          <w:sz w:val="24"/>
          <w:szCs w:val="24"/>
        </w:rPr>
      </w:pPr>
      <w:r w:rsidRPr="00715EE9">
        <w:rPr>
          <w:rFonts w:ascii="Times New Roman" w:hAnsi="Times New Roman" w:cs="Times New Roman"/>
          <w:color w:val="333333"/>
          <w:sz w:val="24"/>
          <w:szCs w:val="24"/>
        </w:rPr>
        <w:t>b.</w:t>
      </w:r>
      <w:r w:rsidRPr="00715EE9">
        <w:rPr>
          <w:rFonts w:ascii="Times New Roman" w:hAnsi="Times New Roman" w:cs="Times New Roman"/>
          <w:color w:val="333333"/>
          <w:sz w:val="24"/>
          <w:szCs w:val="24"/>
        </w:rPr>
        <w:tab/>
        <w:t>Dokładność odbiciowości +/- 1 dB;</w:t>
      </w:r>
    </w:p>
    <w:p w14:paraId="5AEBEEBA" w14:textId="77777777" w:rsidR="00715EE9" w:rsidRPr="00715EE9" w:rsidRDefault="00715EE9" w:rsidP="00C613CE">
      <w:pPr>
        <w:autoSpaceDE w:val="0"/>
        <w:autoSpaceDN w:val="0"/>
        <w:adjustRightInd w:val="0"/>
        <w:ind w:left="1418" w:hanging="284"/>
        <w:rPr>
          <w:rFonts w:ascii="Times New Roman" w:hAnsi="Times New Roman" w:cs="Times New Roman"/>
          <w:color w:val="333333"/>
          <w:sz w:val="24"/>
          <w:szCs w:val="24"/>
        </w:rPr>
      </w:pPr>
      <w:r w:rsidRPr="00715EE9">
        <w:rPr>
          <w:rFonts w:ascii="Times New Roman" w:hAnsi="Times New Roman" w:cs="Times New Roman"/>
          <w:color w:val="333333"/>
          <w:sz w:val="24"/>
          <w:szCs w:val="24"/>
        </w:rPr>
        <w:t>c.</w:t>
      </w:r>
      <w:r w:rsidRPr="00715EE9">
        <w:rPr>
          <w:rFonts w:ascii="Times New Roman" w:hAnsi="Times New Roman" w:cs="Times New Roman"/>
          <w:color w:val="333333"/>
          <w:sz w:val="24"/>
          <w:szCs w:val="24"/>
        </w:rPr>
        <w:tab/>
        <w:t>Długość fali Bragga oraz odbiciowość co najmniej 9/10 wytworzonych siatek zgodnie z ich projektem technologicznym;</w:t>
      </w:r>
    </w:p>
    <w:p w14:paraId="2832406B" w14:textId="77777777" w:rsidR="00715EE9" w:rsidRPr="00715EE9" w:rsidRDefault="00715EE9" w:rsidP="00C613CE">
      <w:pPr>
        <w:autoSpaceDE w:val="0"/>
        <w:autoSpaceDN w:val="0"/>
        <w:adjustRightInd w:val="0"/>
        <w:ind w:left="1418" w:hanging="284"/>
        <w:rPr>
          <w:rFonts w:ascii="Times New Roman" w:hAnsi="Times New Roman" w:cs="Times New Roman"/>
          <w:color w:val="333333"/>
          <w:sz w:val="24"/>
          <w:szCs w:val="24"/>
        </w:rPr>
      </w:pPr>
      <w:r w:rsidRPr="00715EE9">
        <w:rPr>
          <w:rFonts w:ascii="Times New Roman" w:hAnsi="Times New Roman" w:cs="Times New Roman"/>
          <w:color w:val="333333"/>
          <w:sz w:val="24"/>
          <w:szCs w:val="24"/>
        </w:rPr>
        <w:t>d.</w:t>
      </w:r>
      <w:r w:rsidRPr="00715EE9">
        <w:rPr>
          <w:rFonts w:ascii="Times New Roman" w:hAnsi="Times New Roman" w:cs="Times New Roman"/>
          <w:color w:val="333333"/>
          <w:sz w:val="24"/>
          <w:szCs w:val="24"/>
        </w:rPr>
        <w:tab/>
        <w:t xml:space="preserve">Czas zapisu poniżej 15 s. </w:t>
      </w:r>
    </w:p>
    <w:p w14:paraId="2ADE2376"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3.</w:t>
      </w:r>
      <w:r w:rsidRPr="00715EE9">
        <w:rPr>
          <w:rFonts w:ascii="Times New Roman" w:hAnsi="Times New Roman" w:cs="Times New Roman"/>
          <w:color w:val="333333"/>
          <w:sz w:val="24"/>
          <w:szCs w:val="24"/>
        </w:rPr>
        <w:tab/>
        <w:t>Możliwość zapisu siatek Bragga w sposób elastyczny pozwalający na płynny dobór długości fali Bragga z pełnego zakresu: 900-1750 nm.</w:t>
      </w:r>
    </w:p>
    <w:p w14:paraId="2703307F"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4.</w:t>
      </w:r>
      <w:r w:rsidRPr="00715EE9">
        <w:rPr>
          <w:rFonts w:ascii="Times New Roman" w:hAnsi="Times New Roman" w:cs="Times New Roman"/>
          <w:color w:val="333333"/>
          <w:sz w:val="24"/>
          <w:szCs w:val="24"/>
        </w:rPr>
        <w:tab/>
        <w:t>Możliwość wykonania struktur o stratach transmisyjnych nie większych niż 0.1 dB/m.</w:t>
      </w:r>
    </w:p>
    <w:p w14:paraId="40684EAE"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5.</w:t>
      </w:r>
      <w:r w:rsidRPr="00715EE9">
        <w:rPr>
          <w:rFonts w:ascii="Times New Roman" w:hAnsi="Times New Roman" w:cs="Times New Roman"/>
          <w:color w:val="333333"/>
          <w:sz w:val="24"/>
          <w:szCs w:val="24"/>
        </w:rPr>
        <w:tab/>
        <w:t>Fotouczulanie specjalnych i mikrostrukturalnych dwójłomnych włókien światłowodowych skracające czas wytwarzania siatek Bragga minimum pięćdziesięciokrotnie (weryfikacja czasu dla włókna SMF-28e).</w:t>
      </w:r>
    </w:p>
    <w:p w14:paraId="7C9F3B2E"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6.</w:t>
      </w:r>
      <w:r w:rsidRPr="00715EE9">
        <w:rPr>
          <w:rFonts w:ascii="Times New Roman" w:hAnsi="Times New Roman" w:cs="Times New Roman"/>
          <w:color w:val="333333"/>
          <w:sz w:val="24"/>
          <w:szCs w:val="24"/>
        </w:rPr>
        <w:tab/>
        <w:t>Wytworzenie struktur odbiciowych o określonej szerokości spektralnej min. 50 nm.</w:t>
      </w:r>
    </w:p>
    <w:p w14:paraId="03AE48FA" w14:textId="77777777" w:rsidR="00715EE9" w:rsidRPr="00715EE9" w:rsidRDefault="00715EE9" w:rsidP="00715EE9">
      <w:pPr>
        <w:autoSpaceDE w:val="0"/>
        <w:autoSpaceDN w:val="0"/>
        <w:adjustRightInd w:val="0"/>
        <w:ind w:left="720"/>
        <w:rPr>
          <w:rFonts w:ascii="Times New Roman" w:hAnsi="Times New Roman" w:cs="Times New Roman"/>
          <w:color w:val="333333"/>
          <w:sz w:val="24"/>
          <w:szCs w:val="24"/>
        </w:rPr>
      </w:pPr>
      <w:r w:rsidRPr="00715EE9">
        <w:rPr>
          <w:rFonts w:ascii="Times New Roman" w:hAnsi="Times New Roman" w:cs="Times New Roman"/>
          <w:color w:val="333333"/>
          <w:sz w:val="24"/>
          <w:szCs w:val="24"/>
        </w:rPr>
        <w:t>7.</w:t>
      </w:r>
      <w:r w:rsidRPr="00715EE9">
        <w:rPr>
          <w:rFonts w:ascii="Times New Roman" w:hAnsi="Times New Roman" w:cs="Times New Roman"/>
          <w:color w:val="333333"/>
          <w:sz w:val="24"/>
          <w:szCs w:val="24"/>
        </w:rPr>
        <w:tab/>
        <w:t>Monitorowanie widmowych parametrów siatek Bragga w czasie rzeczywistym, m.in.:</w:t>
      </w:r>
    </w:p>
    <w:p w14:paraId="50325CA3" w14:textId="77777777" w:rsidR="00715EE9" w:rsidRPr="00715EE9" w:rsidRDefault="00715EE9" w:rsidP="00C613CE">
      <w:pPr>
        <w:autoSpaceDE w:val="0"/>
        <w:autoSpaceDN w:val="0"/>
        <w:adjustRightInd w:val="0"/>
        <w:ind w:left="720" w:firstLine="414"/>
        <w:rPr>
          <w:rFonts w:ascii="Times New Roman" w:hAnsi="Times New Roman" w:cs="Times New Roman"/>
          <w:color w:val="333333"/>
          <w:sz w:val="24"/>
          <w:szCs w:val="24"/>
        </w:rPr>
      </w:pPr>
      <w:r w:rsidRPr="00715EE9">
        <w:rPr>
          <w:rFonts w:ascii="Times New Roman" w:hAnsi="Times New Roman" w:cs="Times New Roman"/>
          <w:color w:val="333333"/>
          <w:sz w:val="24"/>
          <w:szCs w:val="24"/>
        </w:rPr>
        <w:t>a.</w:t>
      </w:r>
      <w:r w:rsidRPr="00715EE9">
        <w:rPr>
          <w:rFonts w:ascii="Times New Roman" w:hAnsi="Times New Roman" w:cs="Times New Roman"/>
          <w:color w:val="333333"/>
          <w:sz w:val="24"/>
          <w:szCs w:val="24"/>
        </w:rPr>
        <w:tab/>
        <w:t>Długości fali Bragga w zakresie długości fali 350-1750 nm;</w:t>
      </w:r>
    </w:p>
    <w:p w14:paraId="3DE99907" w14:textId="77777777" w:rsidR="00715EE9" w:rsidRDefault="00715EE9" w:rsidP="00C613CE">
      <w:pPr>
        <w:autoSpaceDE w:val="0"/>
        <w:autoSpaceDN w:val="0"/>
        <w:adjustRightInd w:val="0"/>
        <w:ind w:left="720" w:firstLine="414"/>
        <w:rPr>
          <w:rFonts w:ascii="Times New Roman" w:hAnsi="Times New Roman" w:cs="Times New Roman"/>
          <w:color w:val="333333"/>
          <w:sz w:val="24"/>
          <w:szCs w:val="24"/>
        </w:rPr>
      </w:pPr>
      <w:r w:rsidRPr="00715EE9">
        <w:rPr>
          <w:rFonts w:ascii="Times New Roman" w:hAnsi="Times New Roman" w:cs="Times New Roman"/>
          <w:color w:val="333333"/>
          <w:sz w:val="24"/>
          <w:szCs w:val="24"/>
        </w:rPr>
        <w:lastRenderedPageBreak/>
        <w:t>b.</w:t>
      </w:r>
      <w:r w:rsidRPr="00715EE9">
        <w:rPr>
          <w:rFonts w:ascii="Times New Roman" w:hAnsi="Times New Roman" w:cs="Times New Roman"/>
          <w:color w:val="333333"/>
          <w:sz w:val="24"/>
          <w:szCs w:val="24"/>
        </w:rPr>
        <w:tab/>
        <w:t>Odbiciowości z dokładnością 0.5 dB lub lepszą;</w:t>
      </w:r>
    </w:p>
    <w:p w14:paraId="2463BCEE" w14:textId="6C0CAEED" w:rsidR="0046370E" w:rsidRPr="00715EE9" w:rsidRDefault="00715EE9" w:rsidP="00C613CE">
      <w:pPr>
        <w:autoSpaceDE w:val="0"/>
        <w:autoSpaceDN w:val="0"/>
        <w:adjustRightInd w:val="0"/>
        <w:ind w:left="720" w:firstLine="414"/>
        <w:rPr>
          <w:rFonts w:ascii="Times New Roman" w:hAnsi="Times New Roman" w:cs="Times New Roman"/>
          <w:color w:val="333333"/>
          <w:sz w:val="24"/>
          <w:szCs w:val="24"/>
        </w:rPr>
      </w:pPr>
      <w:r>
        <w:rPr>
          <w:rFonts w:ascii="Times New Roman" w:hAnsi="Times New Roman" w:cs="Times New Roman"/>
          <w:color w:val="333333"/>
          <w:sz w:val="24"/>
          <w:szCs w:val="24"/>
        </w:rPr>
        <w:t xml:space="preserve">c.         </w:t>
      </w:r>
      <w:r w:rsidRPr="00715EE9">
        <w:rPr>
          <w:rFonts w:ascii="Times New Roman" w:hAnsi="Times New Roman" w:cs="Times New Roman"/>
          <w:color w:val="333333"/>
          <w:sz w:val="24"/>
          <w:szCs w:val="24"/>
        </w:rPr>
        <w:t>Szerokości spektralnej z dokładnością 50 pm lub lepszą</w:t>
      </w:r>
    </w:p>
    <w:bookmarkEnd w:id="2"/>
    <w:p w14:paraId="08ACD988" w14:textId="3F711E1F" w:rsidR="005E749C" w:rsidRDefault="005E749C" w:rsidP="005E749C">
      <w:pPr>
        <w:spacing w:after="0" w:line="276" w:lineRule="auto"/>
        <w:rPr>
          <w:rFonts w:ascii="Times New Roman" w:hAnsi="Times New Roman" w:cs="Times New Roman"/>
          <w:b/>
          <w:sz w:val="24"/>
          <w:szCs w:val="24"/>
        </w:rPr>
      </w:pPr>
    </w:p>
    <w:p w14:paraId="719D5703" w14:textId="77777777" w:rsidR="0046370E" w:rsidRPr="00D455E0" w:rsidRDefault="0046370E"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r w:rsidRPr="00D455E0">
              <w:rPr>
                <w:rStyle w:val="bold"/>
                <w:rFonts w:eastAsiaTheme="majorEastAsia"/>
                <w:sz w:val="24"/>
                <w:szCs w:val="24"/>
              </w:rPr>
              <w:t>Wspólny Słownik Zamówień:</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r w:rsidRPr="00D455E0">
              <w:rPr>
                <w:sz w:val="24"/>
                <w:szCs w:val="24"/>
              </w:rPr>
              <w:t>Numer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r w:rsidRPr="00D455E0">
              <w:rPr>
                <w:sz w:val="24"/>
                <w:szCs w:val="24"/>
              </w:rPr>
              <w:t>Opis</w:t>
            </w:r>
          </w:p>
        </w:tc>
      </w:tr>
      <w:tr w:rsidR="00850A60" w:rsidRPr="00D455E0" w14:paraId="1983FEE5" w14:textId="77777777" w:rsidTr="00E549D5">
        <w:trPr>
          <w:trHeight w:val="352"/>
        </w:trPr>
        <w:tc>
          <w:tcPr>
            <w:tcW w:w="2614" w:type="dxa"/>
            <w:vAlign w:val="center"/>
          </w:tcPr>
          <w:p w14:paraId="6C8CD3E4" w14:textId="2F535142" w:rsidR="00850A60" w:rsidRPr="00D455E0" w:rsidRDefault="000E6F5E" w:rsidP="00953438">
            <w:pPr>
              <w:spacing w:after="0" w:line="276" w:lineRule="auto"/>
              <w:rPr>
                <w:sz w:val="24"/>
                <w:szCs w:val="24"/>
              </w:rPr>
            </w:pPr>
            <w:r w:rsidRPr="000E6F5E">
              <w:rPr>
                <w:sz w:val="24"/>
                <w:szCs w:val="24"/>
              </w:rPr>
              <w:t>38540000-2</w:t>
            </w:r>
          </w:p>
        </w:tc>
        <w:tc>
          <w:tcPr>
            <w:tcW w:w="6599" w:type="dxa"/>
            <w:vAlign w:val="center"/>
          </w:tcPr>
          <w:p w14:paraId="71A9C8A9" w14:textId="0F0622CC" w:rsidR="00850A60" w:rsidRPr="00D455E0" w:rsidRDefault="000E6F5E" w:rsidP="00953438">
            <w:pPr>
              <w:spacing w:after="0" w:line="276" w:lineRule="auto"/>
              <w:rPr>
                <w:sz w:val="24"/>
                <w:szCs w:val="24"/>
                <w:lang w:val="pl-PL"/>
              </w:rPr>
            </w:pPr>
            <w:r w:rsidRPr="000E6F5E">
              <w:rPr>
                <w:sz w:val="24"/>
                <w:szCs w:val="24"/>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5B51BF77" w:rsidR="00F063E6" w:rsidRPr="00D455E0" w:rsidRDefault="00C613CE"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120</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4B94096E" w:rsidR="00F063E6" w:rsidRPr="00D455E0" w:rsidRDefault="00C613CE"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6EC62E8A" w:rsidR="00F063E6" w:rsidRPr="0046718A" w:rsidRDefault="00C613CE" w:rsidP="0046718A">
            <w:pPr>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40</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3" w:name="_Hlk113954100"/>
      <w:r w:rsidRPr="00D455E0">
        <w:rPr>
          <w:rFonts w:ascii="Times New Roman" w:hAnsi="Times New Roman" w:cs="Times New Roman"/>
          <w:sz w:val="24"/>
          <w:szCs w:val="24"/>
        </w:rPr>
        <w:t>(zmiany powyżej szacowanego progu będą uzgadniane z Wykonawcą).</w:t>
      </w:r>
      <w:bookmarkEnd w:id="3"/>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lastRenderedPageBreak/>
        <w:t xml:space="preserve">znajdują się w sytuacji finansowej i ekonomicznej zapewniającej prawidłowe i terminowe wykonanie zamówienia [weryfikowane na podstawie </w:t>
      </w:r>
      <w:bookmarkStart w:id="4"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4"/>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lastRenderedPageBreak/>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lastRenderedPageBreak/>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6FB0D097"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6C2334">
        <w:rPr>
          <w:rFonts w:ascii="Times New Roman" w:eastAsia="Calibri" w:hAnsi="Times New Roman" w:cs="Times New Roman"/>
          <w:kern w:val="3"/>
          <w:sz w:val="24"/>
          <w:szCs w:val="24"/>
          <w:u w:color="000000"/>
          <w:bdr w:val="nil"/>
          <w:lang w:eastAsia="pl-PL"/>
        </w:rPr>
        <w:t>1</w:t>
      </w:r>
      <w:r w:rsidR="002A6A9D">
        <w:rPr>
          <w:rFonts w:ascii="Times New Roman" w:eastAsia="Calibri" w:hAnsi="Times New Roman" w:cs="Times New Roman"/>
          <w:kern w:val="3"/>
          <w:sz w:val="24"/>
          <w:szCs w:val="24"/>
          <w:u w:color="000000"/>
          <w:bdr w:val="nil"/>
          <w:lang w:eastAsia="pl-PL"/>
        </w:rPr>
        <w:t>6</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290283F6"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904DD9">
        <w:rPr>
          <w:rFonts w:ascii="Times New Roman" w:hAnsi="Times New Roman" w:cs="Times New Roman"/>
          <w:b/>
          <w:bCs/>
          <w:sz w:val="24"/>
          <w:szCs w:val="24"/>
        </w:rPr>
        <w:t>1</w:t>
      </w:r>
      <w:r w:rsidR="002A6A9D">
        <w:rPr>
          <w:rFonts w:ascii="Times New Roman" w:hAnsi="Times New Roman" w:cs="Times New Roman"/>
          <w:b/>
          <w:bCs/>
          <w:sz w:val="24"/>
          <w:szCs w:val="24"/>
        </w:rPr>
        <w:t>4</w:t>
      </w:r>
      <w:r w:rsidR="00206197" w:rsidRPr="008F008F">
        <w:rPr>
          <w:rFonts w:ascii="Times New Roman" w:hAnsi="Times New Roman" w:cs="Times New Roman"/>
          <w:b/>
          <w:bCs/>
          <w:sz w:val="24"/>
          <w:szCs w:val="24"/>
        </w:rPr>
        <w:t>/</w:t>
      </w:r>
      <w:r w:rsidR="00C613CE">
        <w:rPr>
          <w:rFonts w:ascii="Times New Roman" w:hAnsi="Times New Roman" w:cs="Times New Roman"/>
          <w:b/>
          <w:bCs/>
          <w:sz w:val="24"/>
          <w:szCs w:val="24"/>
        </w:rPr>
        <w:t>1</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lastRenderedPageBreak/>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w:t>
      </w:r>
      <w:r w:rsidRPr="00764EE5">
        <w:rPr>
          <w:rFonts w:cs="Times New Roman"/>
        </w:rPr>
        <w:lastRenderedPageBreak/>
        <w:t>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5"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5"/>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5D7EDDBE" w:rsidR="00DF2C7A" w:rsidRDefault="009E3F35" w:rsidP="00C46ABB">
            <w:pPr>
              <w:pStyle w:val="Stopka"/>
              <w:jc w:val="right"/>
            </w:pPr>
            <w:r>
              <w:rPr>
                <w:rFonts w:asciiTheme="majorHAnsi" w:hAnsiTheme="majorHAnsi"/>
                <w:noProof/>
              </w:rPr>
              <w:drawing>
                <wp:anchor distT="0" distB="0" distL="114300" distR="114300" simplePos="0" relativeHeight="251679744" behindDoc="1" locked="0" layoutInCell="1" allowOverlap="1" wp14:anchorId="424B0193" wp14:editId="45A86445">
                  <wp:simplePos x="0" y="0"/>
                  <wp:positionH relativeFrom="margin">
                    <wp:posOffset>0</wp:posOffset>
                  </wp:positionH>
                  <wp:positionV relativeFrom="paragraph">
                    <wp:posOffset>73025</wp:posOffset>
                  </wp:positionV>
                  <wp:extent cx="5829300" cy="958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95885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06C8B971"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E0268"/>
    <w:multiLevelType w:val="hybridMultilevel"/>
    <w:tmpl w:val="0BCE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B059E"/>
    <w:multiLevelType w:val="hybridMultilevel"/>
    <w:tmpl w:val="5CF6AC6E"/>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1B7E2D"/>
    <w:multiLevelType w:val="hybridMultilevel"/>
    <w:tmpl w:val="C98E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0"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425F4"/>
    <w:multiLevelType w:val="hybridMultilevel"/>
    <w:tmpl w:val="57166436"/>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E6E5E58"/>
    <w:multiLevelType w:val="hybridMultilevel"/>
    <w:tmpl w:val="3468CA1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4886423">
    <w:abstractNumId w:val="6"/>
  </w:num>
  <w:num w:numId="2" w16cid:durableId="1826697717">
    <w:abstractNumId w:val="4"/>
  </w:num>
  <w:num w:numId="3" w16cid:durableId="1902016284">
    <w:abstractNumId w:val="0"/>
  </w:num>
  <w:num w:numId="4" w16cid:durableId="745567886">
    <w:abstractNumId w:val="11"/>
  </w:num>
  <w:num w:numId="5" w16cid:durableId="1311013426">
    <w:abstractNumId w:val="21"/>
  </w:num>
  <w:num w:numId="6" w16cid:durableId="1427113107">
    <w:abstractNumId w:val="7"/>
  </w:num>
  <w:num w:numId="7" w16cid:durableId="1449660603">
    <w:abstractNumId w:val="16"/>
  </w:num>
  <w:num w:numId="8" w16cid:durableId="1279678821">
    <w:abstractNumId w:val="12"/>
  </w:num>
  <w:num w:numId="9" w16cid:durableId="587269522">
    <w:abstractNumId w:val="1"/>
  </w:num>
  <w:num w:numId="10" w16cid:durableId="838161246">
    <w:abstractNumId w:val="19"/>
  </w:num>
  <w:num w:numId="11" w16cid:durableId="1399743737">
    <w:abstractNumId w:val="15"/>
  </w:num>
  <w:num w:numId="12" w16cid:durableId="273943909">
    <w:abstractNumId w:val="8"/>
  </w:num>
  <w:num w:numId="13" w16cid:durableId="1376345672">
    <w:abstractNumId w:val="25"/>
  </w:num>
  <w:num w:numId="14" w16cid:durableId="14739108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8"/>
  </w:num>
  <w:num w:numId="17" w16cid:durableId="2780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9"/>
  </w:num>
  <w:num w:numId="19" w16cid:durableId="1538196845">
    <w:abstractNumId w:val="20"/>
  </w:num>
  <w:num w:numId="20" w16cid:durableId="1421370721">
    <w:abstractNumId w:val="23"/>
  </w:num>
  <w:num w:numId="21" w16cid:durableId="1509325093">
    <w:abstractNumId w:val="22"/>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6"/>
  </w:num>
  <w:num w:numId="25" w16cid:durableId="902331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7"/>
  </w:num>
  <w:num w:numId="27" w16cid:durableId="1994136545">
    <w:abstractNumId w:val="10"/>
  </w:num>
  <w:num w:numId="28" w16cid:durableId="2058503966">
    <w:abstractNumId w:val="5"/>
  </w:num>
  <w:num w:numId="29" w16cid:durableId="298536599">
    <w:abstractNumId w:val="2"/>
  </w:num>
  <w:num w:numId="30" w16cid:durableId="1511481049">
    <w:abstractNumId w:val="13"/>
  </w:num>
  <w:num w:numId="31" w16cid:durableId="1672828819">
    <w:abstractNumId w:val="3"/>
  </w:num>
  <w:num w:numId="32" w16cid:durableId="1555004524">
    <w:abstractNumId w:val="29"/>
  </w:num>
  <w:num w:numId="33" w16cid:durableId="8199769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E6F5E"/>
    <w:rsid w:val="000F3C0F"/>
    <w:rsid w:val="00101B11"/>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A6A9D"/>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1F74"/>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6370E"/>
    <w:rsid w:val="0046718A"/>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86829"/>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17A80"/>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C2334"/>
    <w:rsid w:val="006D7C83"/>
    <w:rsid w:val="006D7E86"/>
    <w:rsid w:val="006E1577"/>
    <w:rsid w:val="006E30CF"/>
    <w:rsid w:val="006E4687"/>
    <w:rsid w:val="006E4806"/>
    <w:rsid w:val="006E48F2"/>
    <w:rsid w:val="006F2EBE"/>
    <w:rsid w:val="006F7A47"/>
    <w:rsid w:val="00702E9A"/>
    <w:rsid w:val="0070488B"/>
    <w:rsid w:val="00713211"/>
    <w:rsid w:val="0071363D"/>
    <w:rsid w:val="00715EE9"/>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1FB1"/>
    <w:rsid w:val="008558FD"/>
    <w:rsid w:val="00857AC2"/>
    <w:rsid w:val="00864E91"/>
    <w:rsid w:val="008677CC"/>
    <w:rsid w:val="008678C8"/>
    <w:rsid w:val="0087045C"/>
    <w:rsid w:val="008708BB"/>
    <w:rsid w:val="0087113A"/>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04DD9"/>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E3F35"/>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13C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D7788"/>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B53"/>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2A"/>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451">
      <w:bodyDiv w:val="1"/>
      <w:marLeft w:val="0"/>
      <w:marRight w:val="0"/>
      <w:marTop w:val="0"/>
      <w:marBottom w:val="0"/>
      <w:divBdr>
        <w:top w:val="none" w:sz="0" w:space="0" w:color="auto"/>
        <w:left w:val="none" w:sz="0" w:space="0" w:color="auto"/>
        <w:bottom w:val="none" w:sz="0" w:space="0" w:color="auto"/>
        <w:right w:val="none" w:sz="0" w:space="0" w:color="auto"/>
      </w:divBdr>
    </w:div>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06186696">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258298444">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509493320">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006908415">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3.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35F4C-C3C7-4126-858B-89A95B3E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2845</Words>
  <Characters>17075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22</cp:revision>
  <cp:lastPrinted>2022-09-15T09:37:00Z</cp:lastPrinted>
  <dcterms:created xsi:type="dcterms:W3CDTF">2022-10-04T13:35:00Z</dcterms:created>
  <dcterms:modified xsi:type="dcterms:W3CDTF">2022-10-14T07:49:00Z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